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39" w:rsidRDefault="00EA021C" w:rsidP="00EA021C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-647700</wp:posOffset>
            </wp:positionV>
            <wp:extent cx="553720" cy="449580"/>
            <wp:effectExtent l="0" t="0" r="0" b="7620"/>
            <wp:wrapNone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80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Texte 10" o:spid="_x0000_s1026" type="#_x0000_t202" style="position:absolute;margin-left:-.95pt;margin-top:-10.45pt;width:141.5pt;height:52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" fillcolor="white [3201]" stroked="f">
            <v:textbox>
              <w:txbxContent>
                <w:p w:rsidR="00B96639" w:rsidRPr="00B96639" w:rsidRDefault="00B96639" w:rsidP="00B9663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B96639">
                    <w:rPr>
                      <w:b/>
                      <w:bCs/>
                      <w:color w:val="000000" w:themeColor="dark1"/>
                      <w:sz w:val="16"/>
                      <w:szCs w:val="16"/>
                    </w:rPr>
                    <w:t>Ministère de l’enseignement supérieur, de la Recherche Scientifique et de la Formation des Cadres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-549275</wp:posOffset>
            </wp:positionV>
            <wp:extent cx="993775" cy="857250"/>
            <wp:effectExtent l="0" t="0" r="0" b="0"/>
            <wp:wrapNone/>
            <wp:docPr id="7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57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3801630</wp:posOffset>
            </wp:positionH>
            <wp:positionV relativeFrom="paragraph">
              <wp:posOffset>-407852</wp:posOffset>
            </wp:positionV>
            <wp:extent cx="1204595" cy="723900"/>
            <wp:effectExtent l="0" t="0" r="0" b="0"/>
            <wp:wrapNone/>
            <wp:docPr id="9" name="Image 8" descr="Description : logo_tex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Description : logo_tex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2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-407035</wp:posOffset>
            </wp:positionV>
            <wp:extent cx="1449705" cy="591185"/>
            <wp:effectExtent l="0" t="0" r="0" b="0"/>
            <wp:wrapNone/>
            <wp:docPr id="8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91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64803">
        <w:rPr>
          <w:noProof/>
          <w:lang w:eastAsia="fr-FR"/>
        </w:rPr>
        <w:pict>
          <v:shape id="Zone de texte 6" o:spid="_x0000_s1027" type="#_x0000_t202" style="position:absolute;margin-left:612.55pt;margin-top:-54.9pt;width:158.95pt;height:108.4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" fillcolor="white [3201]" strokeweight=".5pt">
            <v:textbox>
              <w:txbxContent>
                <w:p w:rsidR="00EA021C" w:rsidRDefault="00EA021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81298" cy="1140031"/>
                        <wp:effectExtent l="0" t="0" r="0" b="3175"/>
                        <wp:docPr id="4" name="Image 4" descr="Résultat de recherche d'images pour &quot;um6p benguerir maroc logo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um6p benguerir maroc logo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3775" cy="1141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6639" w:rsidRPr="00B96639" w:rsidRDefault="00B96639" w:rsidP="00B96639"/>
    <w:tbl>
      <w:tblPr>
        <w:tblpPr w:leftFromText="141" w:rightFromText="141" w:vertAnchor="text" w:horzAnchor="margin" w:tblpXSpec="center" w:tblpY="-63"/>
        <w:tblW w:w="7200" w:type="dxa"/>
        <w:tblCellMar>
          <w:left w:w="70" w:type="dxa"/>
          <w:right w:w="70" w:type="dxa"/>
        </w:tblCellMar>
        <w:tblLook w:val="04A0"/>
      </w:tblPr>
      <w:tblGrid>
        <w:gridCol w:w="7200"/>
      </w:tblGrid>
      <w:tr w:rsidR="00B96639" w:rsidRPr="00B96639" w:rsidTr="00B96639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39" w:rsidRPr="00B96639" w:rsidRDefault="00B96639" w:rsidP="00B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B9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Financement des projets R&amp;D autour des phosphates </w:t>
            </w:r>
          </w:p>
        </w:tc>
      </w:tr>
      <w:tr w:rsidR="00B96639" w:rsidRPr="00B96639" w:rsidTr="00B96639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39" w:rsidRPr="00B96639" w:rsidRDefault="00B96639" w:rsidP="00B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B9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Statistiques relatives aux 41 projets soutenus</w:t>
            </w:r>
          </w:p>
        </w:tc>
      </w:tr>
    </w:tbl>
    <w:p w:rsidR="00B96639" w:rsidRDefault="00B96639" w:rsidP="00B96639"/>
    <w:p w:rsidR="00B96639" w:rsidRPr="00B96639" w:rsidRDefault="00B96639" w:rsidP="00B96639">
      <w:pPr>
        <w:tabs>
          <w:tab w:val="left" w:pos="3855"/>
        </w:tabs>
      </w:pPr>
      <w:r>
        <w:tab/>
      </w:r>
    </w:p>
    <w:p w:rsidR="00B96639" w:rsidRDefault="00B96639" w:rsidP="00B96639">
      <w:pPr>
        <w:tabs>
          <w:tab w:val="left" w:pos="3855"/>
        </w:tabs>
      </w:pPr>
    </w:p>
    <w:p w:rsidR="004B7DF7" w:rsidRPr="003E2D84" w:rsidRDefault="004B7DF7" w:rsidP="00797934">
      <w:pPr>
        <w:pStyle w:val="Paragraphedeliste"/>
        <w:numPr>
          <w:ilvl w:val="0"/>
          <w:numId w:val="1"/>
        </w:numPr>
        <w:tabs>
          <w:tab w:val="left" w:pos="385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3E2D84">
        <w:rPr>
          <w:rFonts w:asciiTheme="majorBidi" w:hAnsiTheme="majorBidi" w:cstheme="majorBidi"/>
          <w:b/>
          <w:bCs/>
          <w:sz w:val="24"/>
          <w:szCs w:val="24"/>
        </w:rPr>
        <w:t>Répartition par Université/organisme</w:t>
      </w:r>
      <w:r w:rsidR="00797934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96639" w:rsidRDefault="00B96639" w:rsidP="00A2287B">
      <w:pPr>
        <w:ind w:left="-142"/>
      </w:pPr>
      <w:r>
        <w:rPr>
          <w:noProof/>
          <w:lang w:eastAsia="fr-FR"/>
        </w:rPr>
        <w:drawing>
          <wp:inline distT="0" distB="0" distL="0" distR="0">
            <wp:extent cx="10153650" cy="3581400"/>
            <wp:effectExtent l="0" t="0" r="19050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5C9F" w:rsidRPr="003E2D84" w:rsidRDefault="003E2D84" w:rsidP="00797934">
      <w:pPr>
        <w:pStyle w:val="Paragraphedeliste"/>
        <w:numPr>
          <w:ilvl w:val="0"/>
          <w:numId w:val="1"/>
        </w:numPr>
        <w:tabs>
          <w:tab w:val="left" w:pos="106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3E2D84">
        <w:rPr>
          <w:rFonts w:asciiTheme="majorBidi" w:hAnsiTheme="majorBidi" w:cstheme="majorBidi"/>
          <w:b/>
          <w:bCs/>
          <w:sz w:val="24"/>
          <w:szCs w:val="24"/>
        </w:rPr>
        <w:lastRenderedPageBreak/>
        <w:t>Répartition par type d’établissement/organisme</w:t>
      </w:r>
      <w:r w:rsidR="004F64B8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3E2D84" w:rsidRDefault="003E2D84" w:rsidP="00B96639">
      <w:pPr>
        <w:tabs>
          <w:tab w:val="left" w:pos="1065"/>
        </w:tabs>
      </w:pPr>
    </w:p>
    <w:p w:rsidR="003E2D84" w:rsidRDefault="003E2D84" w:rsidP="00B96639">
      <w:pPr>
        <w:tabs>
          <w:tab w:val="left" w:pos="1065"/>
        </w:tabs>
      </w:pPr>
      <w:r>
        <w:rPr>
          <w:noProof/>
          <w:lang w:eastAsia="fr-FR"/>
        </w:rPr>
        <w:drawing>
          <wp:inline distT="0" distB="0" distL="0" distR="0">
            <wp:extent cx="9267825" cy="3971925"/>
            <wp:effectExtent l="0" t="0" r="9525" b="952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2D84" w:rsidRDefault="003E2D84" w:rsidP="00B96639">
      <w:pPr>
        <w:tabs>
          <w:tab w:val="left" w:pos="1065"/>
        </w:tabs>
      </w:pPr>
    </w:p>
    <w:p w:rsidR="003E2D84" w:rsidRDefault="003E2D84" w:rsidP="00B96639">
      <w:pPr>
        <w:tabs>
          <w:tab w:val="left" w:pos="1065"/>
        </w:tabs>
      </w:pPr>
    </w:p>
    <w:p w:rsidR="003E2D84" w:rsidRDefault="003E2D84" w:rsidP="00B96639">
      <w:pPr>
        <w:tabs>
          <w:tab w:val="left" w:pos="1065"/>
        </w:tabs>
      </w:pPr>
    </w:p>
    <w:p w:rsidR="003E2D84" w:rsidRPr="007E027C" w:rsidRDefault="00572EB4" w:rsidP="00797934">
      <w:pPr>
        <w:pStyle w:val="Paragraphedeliste"/>
        <w:numPr>
          <w:ilvl w:val="0"/>
          <w:numId w:val="1"/>
        </w:numPr>
        <w:tabs>
          <w:tab w:val="left" w:pos="106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7E027C">
        <w:rPr>
          <w:rFonts w:asciiTheme="majorBidi" w:hAnsiTheme="majorBidi" w:cstheme="majorBidi"/>
          <w:b/>
          <w:bCs/>
          <w:sz w:val="24"/>
          <w:szCs w:val="24"/>
        </w:rPr>
        <w:lastRenderedPageBreak/>
        <w:t>R</w:t>
      </w:r>
      <w:r w:rsidR="007E027C" w:rsidRPr="007E027C">
        <w:rPr>
          <w:rFonts w:asciiTheme="majorBidi" w:hAnsiTheme="majorBidi" w:cstheme="majorBidi"/>
          <w:b/>
          <w:bCs/>
          <w:sz w:val="24"/>
          <w:szCs w:val="24"/>
        </w:rPr>
        <w:t>é</w:t>
      </w:r>
      <w:r w:rsidRPr="007E027C">
        <w:rPr>
          <w:rFonts w:asciiTheme="majorBidi" w:hAnsiTheme="majorBidi" w:cstheme="majorBidi"/>
          <w:b/>
          <w:bCs/>
          <w:sz w:val="24"/>
          <w:szCs w:val="24"/>
        </w:rPr>
        <w:t xml:space="preserve">partition </w:t>
      </w:r>
      <w:r w:rsidR="007E027C" w:rsidRPr="007E027C">
        <w:rPr>
          <w:rFonts w:asciiTheme="majorBidi" w:hAnsiTheme="majorBidi" w:cstheme="majorBidi"/>
          <w:b/>
          <w:bCs/>
          <w:sz w:val="24"/>
          <w:szCs w:val="24"/>
        </w:rPr>
        <w:t>par établissements pour chaque Université/organisme</w:t>
      </w:r>
      <w:r w:rsidR="00797934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3E2D84" w:rsidRDefault="003E2D84" w:rsidP="00B96639">
      <w:pPr>
        <w:tabs>
          <w:tab w:val="left" w:pos="1065"/>
        </w:tabs>
      </w:pPr>
    </w:p>
    <w:p w:rsidR="003E2D84" w:rsidRDefault="00572EB4" w:rsidP="00A2287B">
      <w:pPr>
        <w:tabs>
          <w:tab w:val="left" w:pos="1065"/>
        </w:tabs>
        <w:ind w:left="-567" w:right="-142"/>
        <w:jc w:val="right"/>
      </w:pPr>
      <w:r>
        <w:rPr>
          <w:noProof/>
          <w:lang w:eastAsia="fr-FR"/>
        </w:rPr>
        <w:drawing>
          <wp:inline distT="0" distB="0" distL="0" distR="0">
            <wp:extent cx="10439400" cy="4781550"/>
            <wp:effectExtent l="0" t="0" r="19050" b="1905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25BC" w:rsidRDefault="00ED25BC" w:rsidP="00797934">
      <w:pPr>
        <w:pStyle w:val="Paragraphedeliste"/>
        <w:numPr>
          <w:ilvl w:val="0"/>
          <w:numId w:val="1"/>
        </w:numPr>
        <w:tabs>
          <w:tab w:val="left" w:pos="106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DF77B8">
        <w:rPr>
          <w:rFonts w:asciiTheme="majorBidi" w:hAnsiTheme="majorBidi" w:cstheme="majorBidi"/>
          <w:b/>
          <w:bCs/>
          <w:sz w:val="24"/>
          <w:szCs w:val="24"/>
        </w:rPr>
        <w:lastRenderedPageBreak/>
        <w:t>Répartition par thématique</w:t>
      </w:r>
      <w:r w:rsidR="00797934">
        <w:rPr>
          <w:rFonts w:asciiTheme="majorBidi" w:hAnsiTheme="majorBidi" w:cstheme="majorBidi"/>
          <w:b/>
          <w:bCs/>
          <w:sz w:val="24"/>
          <w:szCs w:val="24"/>
        </w:rPr>
        <w:t> :</w:t>
      </w:r>
      <w:bookmarkStart w:id="0" w:name="_GoBack"/>
      <w:bookmarkEnd w:id="0"/>
    </w:p>
    <w:p w:rsidR="00DF77B8" w:rsidRPr="00DF77B8" w:rsidRDefault="00DF77B8" w:rsidP="00DF77B8">
      <w:pPr>
        <w:pStyle w:val="Paragraphedeliste"/>
        <w:tabs>
          <w:tab w:val="left" w:pos="106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3E2D84" w:rsidRPr="00B96639" w:rsidRDefault="00DF77B8" w:rsidP="00DF77B8">
      <w:pPr>
        <w:pStyle w:val="Paragraphedeliste"/>
        <w:tabs>
          <w:tab w:val="left" w:pos="1065"/>
        </w:tabs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077325" cy="5114925"/>
            <wp:effectExtent l="0" t="0" r="9525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3E2D84" w:rsidRPr="00B96639" w:rsidSect="00A2287B">
      <w:pgSz w:w="16838" w:h="11906" w:orient="landscape"/>
      <w:pgMar w:top="1417" w:right="53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1B" w:rsidRDefault="00EF761B" w:rsidP="00ED25BC">
      <w:pPr>
        <w:spacing w:after="0" w:line="240" w:lineRule="auto"/>
      </w:pPr>
      <w:r>
        <w:separator/>
      </w:r>
    </w:p>
  </w:endnote>
  <w:endnote w:type="continuationSeparator" w:id="1">
    <w:p w:rsidR="00EF761B" w:rsidRDefault="00EF761B" w:rsidP="00ED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1B" w:rsidRDefault="00EF761B" w:rsidP="00ED25BC">
      <w:pPr>
        <w:spacing w:after="0" w:line="240" w:lineRule="auto"/>
      </w:pPr>
      <w:r>
        <w:separator/>
      </w:r>
    </w:p>
  </w:footnote>
  <w:footnote w:type="continuationSeparator" w:id="1">
    <w:p w:rsidR="00EF761B" w:rsidRDefault="00EF761B" w:rsidP="00ED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2C39"/>
    <w:multiLevelType w:val="hybridMultilevel"/>
    <w:tmpl w:val="D69474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EE8"/>
    <w:rsid w:val="000248CA"/>
    <w:rsid w:val="000F3276"/>
    <w:rsid w:val="00127FDA"/>
    <w:rsid w:val="00242EE8"/>
    <w:rsid w:val="003C02E6"/>
    <w:rsid w:val="003E2D84"/>
    <w:rsid w:val="003E6D2B"/>
    <w:rsid w:val="00496020"/>
    <w:rsid w:val="004B7DF7"/>
    <w:rsid w:val="004F64B8"/>
    <w:rsid w:val="00572EB4"/>
    <w:rsid w:val="00620594"/>
    <w:rsid w:val="00797934"/>
    <w:rsid w:val="007E027C"/>
    <w:rsid w:val="00964803"/>
    <w:rsid w:val="00A2287B"/>
    <w:rsid w:val="00AE4875"/>
    <w:rsid w:val="00B96639"/>
    <w:rsid w:val="00D31B24"/>
    <w:rsid w:val="00DF77B8"/>
    <w:rsid w:val="00EA021C"/>
    <w:rsid w:val="00ED25BC"/>
    <w:rsid w:val="00EF761B"/>
    <w:rsid w:val="00F1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6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63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7D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5BC"/>
  </w:style>
  <w:style w:type="paragraph" w:styleId="Pieddepage">
    <w:name w:val="footer"/>
    <w:basedOn w:val="Normal"/>
    <w:link w:val="PieddepageCar"/>
    <w:uiPriority w:val="99"/>
    <w:unhideWhenUsed/>
    <w:rsid w:val="00E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6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63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7D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5BC"/>
  </w:style>
  <w:style w:type="paragraph" w:styleId="Pieddepage">
    <w:name w:val="footer"/>
    <w:basedOn w:val="Normal"/>
    <w:link w:val="PieddepageCar"/>
    <w:uiPriority w:val="99"/>
    <w:unhideWhenUsed/>
    <w:rsid w:val="00E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FA\Soutien_manif_SAFA_2014%20&amp;%202015%20v%20du%2007%20juillet%202015\Dossiers%20SAFA%20(manif&amp;pub&amp;p&#244;le)\Projets%20OCP\R&amp;D-phosphates-statistiques%20des%2041%20projets%20retenus%20pour%20financemen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FA\Soutien_manif_SAFA_2014%20&amp;%202015%20v%20du%2007%20juillet%202015\Dossiers%20SAFA%20(manif&amp;pub&amp;p&#244;le)\Projets%20OCP\R&amp;D-phosphates-statistiques%20des%2041%20projets%20retenus%20pour%20financemen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FA\Soutien_manif_SAFA_2014%20&amp;%202015%20v%20du%2007%20juillet%202015\Dossiers%20SAFA%20(manif&amp;pub&amp;p&#244;le)\Projets%20OCP\R&amp;D-phosphates-statistiques%20des%2041%20projets%20retenus%20pour%20financemen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FA\Soutien_manif_SAFA_2014%20&amp;%202015%20v%20du%2007%20juillet%202015\Dossiers%20SAFA%20(manif&amp;pub&amp;p&#244;le)\Projets%20OCP\R&amp;D-phosphates-statistiques%20des%2041%20projets%20retenus%20pour%20financemen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7"/>
  <c:chart>
    <c:autoTitleDeleted val="1"/>
    <c:plotArea>
      <c:layout>
        <c:manualLayout>
          <c:layoutTarget val="inner"/>
          <c:xMode val="edge"/>
          <c:yMode val="edge"/>
          <c:x val="1.351474919166055E-2"/>
          <c:y val="0.15044147031531976"/>
          <c:w val="0.96989393762571352"/>
          <c:h val="0.66912059323381046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Feuil2!$C$14:$C$28</c:f>
              <c:strCache>
                <c:ptCount val="15"/>
                <c:pt idx="0">
                  <c:v>UCA 
Marrakech</c:v>
                </c:pt>
                <c:pt idx="1">
                  <c:v>UH2
Casablanca</c:v>
                </c:pt>
                <c:pt idx="2">
                  <c:v>MAScIR 
Rabat</c:v>
                </c:pt>
                <c:pt idx="3">
                  <c:v>UCD 
El Jadida</c:v>
                </c:pt>
                <c:pt idx="4">
                  <c:v>UM5
Rabat</c:v>
                </c:pt>
                <c:pt idx="5">
                  <c:v>USMBA
Fès</c:v>
                </c:pt>
                <c:pt idx="6">
                  <c:v>USMS
Béni Mellal</c:v>
                </c:pt>
                <c:pt idx="7">
                  <c:v>INRA 
Rabat</c:v>
                </c:pt>
                <c:pt idx="8">
                  <c:v>UAE
Tétouan</c:v>
                </c:pt>
                <c:pt idx="9">
                  <c:v>UHP
Settat</c:v>
                </c:pt>
                <c:pt idx="10">
                  <c:v>UIT 
Kenitra</c:v>
                </c:pt>
                <c:pt idx="11">
                  <c:v>UIZ 
Agadir</c:v>
                </c:pt>
                <c:pt idx="12">
                  <c:v>UMI
Meknès</c:v>
                </c:pt>
                <c:pt idx="13">
                  <c:v>IAV
Rabat</c:v>
                </c:pt>
                <c:pt idx="14">
                  <c:v>INAU
Rabat</c:v>
                </c:pt>
              </c:strCache>
            </c:strRef>
          </c:cat>
          <c:val>
            <c:numRef>
              <c:f>Feuil2!$D$14:$D$28</c:f>
              <c:numCache>
                <c:formatCode>General</c:formatCode>
                <c:ptCount val="15"/>
                <c:pt idx="0">
                  <c:v>10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gapWidth val="84"/>
        <c:overlap val="6"/>
        <c:axId val="169990784"/>
        <c:axId val="170074496"/>
      </c:barChart>
      <c:catAx>
        <c:axId val="169990784"/>
        <c:scaling>
          <c:orientation val="minMax"/>
        </c:scaling>
        <c:axPos val="b"/>
        <c:majorTickMark val="none"/>
        <c:tickLblPos val="low"/>
        <c:txPr>
          <a:bodyPr rot="0" vert="horz" anchor="ctr" anchorCtr="1"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fr-FR"/>
          </a:p>
        </c:txPr>
        <c:crossAx val="170074496"/>
        <c:crosses val="autoZero"/>
        <c:auto val="1"/>
        <c:lblAlgn val="ctr"/>
        <c:lblOffset val="200"/>
      </c:catAx>
      <c:valAx>
        <c:axId val="17007449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6999078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7"/>
  <c:chart>
    <c:autoTitleDeleted val="1"/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Feuil2!$C$33:$C$41</c:f>
              <c:strCache>
                <c:ptCount val="9"/>
                <c:pt idx="0">
                  <c:v>les  FS</c:v>
                </c:pt>
                <c:pt idx="1">
                  <c:v>les  FST</c:v>
                </c:pt>
                <c:pt idx="2">
                  <c:v>MAScIR
Rabat</c:v>
                </c:pt>
                <c:pt idx="3">
                  <c:v>Ecoles
d'Ingénieurs </c:v>
                </c:pt>
                <c:pt idx="4">
                  <c:v>INRA</c:v>
                </c:pt>
                <c:pt idx="5">
                  <c:v>CNEREE
Marrakech </c:v>
                </c:pt>
                <c:pt idx="6">
                  <c:v>EST 
Casablanca</c:v>
                </c:pt>
                <c:pt idx="7">
                  <c:v>IAV 
Rabat </c:v>
                </c:pt>
                <c:pt idx="8">
                  <c:v>INAU
Rabat</c:v>
                </c:pt>
              </c:strCache>
            </c:strRef>
          </c:cat>
          <c:val>
            <c:numRef>
              <c:f>Feuil2!$D$33:$D$41</c:f>
              <c:numCache>
                <c:formatCode>General</c:formatCode>
                <c:ptCount val="9"/>
                <c:pt idx="0">
                  <c:v>18</c:v>
                </c:pt>
                <c:pt idx="1">
                  <c:v>10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overlap val="-25"/>
        <c:axId val="170098688"/>
        <c:axId val="170100224"/>
      </c:barChart>
      <c:catAx>
        <c:axId val="1700986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fr-FR"/>
          </a:p>
        </c:txPr>
        <c:crossAx val="170100224"/>
        <c:crosses val="autoZero"/>
        <c:auto val="1"/>
        <c:lblAlgn val="ctr"/>
        <c:lblOffset val="100"/>
      </c:catAx>
      <c:valAx>
        <c:axId val="170100224"/>
        <c:scaling>
          <c:orientation val="minMax"/>
        </c:scaling>
        <c:delete val="1"/>
        <c:axPos val="l"/>
        <c:numFmt formatCode="General" sourceLinked="1"/>
        <c:tickLblPos val="nextTo"/>
        <c:crossAx val="17009868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8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5101502276211884E-2"/>
          <c:y val="2.8856451423104276E-2"/>
          <c:w val="0.96765075488558605"/>
          <c:h val="0.88013609409934856"/>
        </c:manualLayout>
      </c:layout>
      <c:bar3DChart>
        <c:barDir val="col"/>
        <c:grouping val="stacked"/>
        <c:ser>
          <c:idx val="0"/>
          <c:order val="0"/>
          <c:tx>
            <c:strRef>
              <c:f>Feuil2!$B$77</c:f>
              <c:strCache>
                <c:ptCount val="1"/>
                <c:pt idx="0">
                  <c:v>CNEREE</c:v>
                </c:pt>
              </c:strCache>
            </c:strRef>
          </c:tx>
          <c:dLbls>
            <c:dLbl>
              <c:idx val="0"/>
              <c:layout>
                <c:manualLayout>
                  <c:x val="-4.0983606557377112E-3"/>
                  <c:y val="-2.59909031838856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CNEREE: 1</a:t>
                    </a:r>
                  </a:p>
                </c:rich>
              </c:tx>
              <c:showVal val="1"/>
              <c:showSerName val="1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Val val="1"/>
            <c:showSerName val="1"/>
          </c:dLbls>
          <c:cat>
            <c:strRef>
              <c:f>Feuil2!$C$76:$Q$76</c:f>
              <c:strCache>
                <c:ptCount val="15"/>
                <c:pt idx="0">
                  <c:v>UCA
Marrakech</c:v>
                </c:pt>
                <c:pt idx="1">
                  <c:v>UH2
Casablanca</c:v>
                </c:pt>
                <c:pt idx="2">
                  <c:v>MAScIR
Rabat</c:v>
                </c:pt>
                <c:pt idx="3">
                  <c:v>UM5
Rabat</c:v>
                </c:pt>
                <c:pt idx="4">
                  <c:v>UCD
El Jadida</c:v>
                </c:pt>
                <c:pt idx="5">
                  <c:v>USMBA
Fès</c:v>
                </c:pt>
                <c:pt idx="6">
                  <c:v>USMS
Béni Mellal</c:v>
                </c:pt>
                <c:pt idx="7">
                  <c:v>INRA
Rabat</c:v>
                </c:pt>
                <c:pt idx="8">
                  <c:v>UAE
Tétouan</c:v>
                </c:pt>
                <c:pt idx="9">
                  <c:v>UHP
Settat</c:v>
                </c:pt>
                <c:pt idx="10">
                  <c:v>UIT
Kenitra</c:v>
                </c:pt>
                <c:pt idx="11">
                  <c:v>UIZ
Agadir</c:v>
                </c:pt>
                <c:pt idx="12">
                  <c:v>UMI
Meknès</c:v>
                </c:pt>
                <c:pt idx="13">
                  <c:v>IAV
Rabat</c:v>
                </c:pt>
                <c:pt idx="14">
                  <c:v>INAU
Rabat</c:v>
                </c:pt>
              </c:strCache>
            </c:strRef>
          </c:cat>
          <c:val>
            <c:numRef>
              <c:f>Feuil2!$C$77:$Q$77</c:f>
              <c:numCache>
                <c:formatCode>General</c:formatCode>
                <c:ptCount val="15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Feuil2!$B$78</c:f>
              <c:strCache>
                <c:ptCount val="1"/>
                <c:pt idx="0">
                  <c:v>EMI</c:v>
                </c:pt>
              </c:strCache>
            </c:strRef>
          </c:tx>
          <c:dLbls>
            <c:dLbl>
              <c:idx val="3"/>
              <c:layout>
                <c:manualLayout>
                  <c:x val="3.28677074774034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EMI: 1</a:t>
                    </a:r>
                  </a:p>
                </c:rich>
              </c:tx>
              <c:showVal val="1"/>
              <c:showSerName val="1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Val val="1"/>
            <c:showSerName val="1"/>
          </c:dLbls>
          <c:cat>
            <c:strRef>
              <c:f>Feuil2!$C$76:$Q$76</c:f>
              <c:strCache>
                <c:ptCount val="15"/>
                <c:pt idx="0">
                  <c:v>UCA
Marrakech</c:v>
                </c:pt>
                <c:pt idx="1">
                  <c:v>UH2
Casablanca</c:v>
                </c:pt>
                <c:pt idx="2">
                  <c:v>MAScIR
Rabat</c:v>
                </c:pt>
                <c:pt idx="3">
                  <c:v>UM5
Rabat</c:v>
                </c:pt>
                <c:pt idx="4">
                  <c:v>UCD
El Jadida</c:v>
                </c:pt>
                <c:pt idx="5">
                  <c:v>USMBA
Fès</c:v>
                </c:pt>
                <c:pt idx="6">
                  <c:v>USMS
Béni Mellal</c:v>
                </c:pt>
                <c:pt idx="7">
                  <c:v>INRA
Rabat</c:v>
                </c:pt>
                <c:pt idx="8">
                  <c:v>UAE
Tétouan</c:v>
                </c:pt>
                <c:pt idx="9">
                  <c:v>UHP
Settat</c:v>
                </c:pt>
                <c:pt idx="10">
                  <c:v>UIT
Kenitra</c:v>
                </c:pt>
                <c:pt idx="11">
                  <c:v>UIZ
Agadir</c:v>
                </c:pt>
                <c:pt idx="12">
                  <c:v>UMI
Meknès</c:v>
                </c:pt>
                <c:pt idx="13">
                  <c:v>IAV
Rabat</c:v>
                </c:pt>
                <c:pt idx="14">
                  <c:v>INAU
Rabat</c:v>
                </c:pt>
              </c:strCache>
            </c:strRef>
          </c:cat>
          <c:val>
            <c:numRef>
              <c:f>Feuil2!$C$78:$Q$78</c:f>
              <c:numCache>
                <c:formatCode>General</c:formatCode>
                <c:ptCount val="15"/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Feuil2!$B$79</c:f>
              <c:strCache>
                <c:ptCount val="1"/>
                <c:pt idx="0">
                  <c:v>ENSEM</c:v>
                </c:pt>
              </c:strCache>
            </c:strRef>
          </c:tx>
          <c:dLbls>
            <c:dLbl>
              <c:idx val="1"/>
              <c:layout>
                <c:manualLayout>
                  <c:x val="6.5735414954806951E-3"/>
                  <c:y val="-2.21667994056505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ENSEM: 1</a:t>
                    </a:r>
                  </a:p>
                </c:rich>
              </c:tx>
              <c:showVal val="1"/>
              <c:showSerName val="1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Val val="1"/>
            <c:showSerName val="1"/>
          </c:dLbls>
          <c:cat>
            <c:strRef>
              <c:f>Feuil2!$C$76:$Q$76</c:f>
              <c:strCache>
                <c:ptCount val="15"/>
                <c:pt idx="0">
                  <c:v>UCA
Marrakech</c:v>
                </c:pt>
                <c:pt idx="1">
                  <c:v>UH2
Casablanca</c:v>
                </c:pt>
                <c:pt idx="2">
                  <c:v>MAScIR
Rabat</c:v>
                </c:pt>
                <c:pt idx="3">
                  <c:v>UM5
Rabat</c:v>
                </c:pt>
                <c:pt idx="4">
                  <c:v>UCD
El Jadida</c:v>
                </c:pt>
                <c:pt idx="5">
                  <c:v>USMBA
Fès</c:v>
                </c:pt>
                <c:pt idx="6">
                  <c:v>USMS
Béni Mellal</c:v>
                </c:pt>
                <c:pt idx="7">
                  <c:v>INRA
Rabat</c:v>
                </c:pt>
                <c:pt idx="8">
                  <c:v>UAE
Tétouan</c:v>
                </c:pt>
                <c:pt idx="9">
                  <c:v>UHP
Settat</c:v>
                </c:pt>
                <c:pt idx="10">
                  <c:v>UIT
Kenitra</c:v>
                </c:pt>
                <c:pt idx="11">
                  <c:v>UIZ
Agadir</c:v>
                </c:pt>
                <c:pt idx="12">
                  <c:v>UMI
Meknès</c:v>
                </c:pt>
                <c:pt idx="13">
                  <c:v>IAV
Rabat</c:v>
                </c:pt>
                <c:pt idx="14">
                  <c:v>INAU
Rabat</c:v>
                </c:pt>
              </c:strCache>
            </c:strRef>
          </c:cat>
          <c:val>
            <c:numRef>
              <c:f>Feuil2!$C$79:$Q$79</c:f>
              <c:numCache>
                <c:formatCode>General</c:formatCode>
                <c:ptCount val="15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Feuil2!$B$80</c:f>
              <c:strCache>
                <c:ptCount val="1"/>
                <c:pt idx="0">
                  <c:v>EST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EST: 1</a:t>
                    </a:r>
                  </a:p>
                </c:rich>
              </c:tx>
              <c:showVal val="1"/>
              <c:showSerName val="1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Val val="1"/>
            <c:showSerName val="1"/>
          </c:dLbls>
          <c:cat>
            <c:strRef>
              <c:f>Feuil2!$C$76:$Q$76</c:f>
              <c:strCache>
                <c:ptCount val="15"/>
                <c:pt idx="0">
                  <c:v>UCA
Marrakech</c:v>
                </c:pt>
                <c:pt idx="1">
                  <c:v>UH2
Casablanca</c:v>
                </c:pt>
                <c:pt idx="2">
                  <c:v>MAScIR
Rabat</c:v>
                </c:pt>
                <c:pt idx="3">
                  <c:v>UM5
Rabat</c:v>
                </c:pt>
                <c:pt idx="4">
                  <c:v>UCD
El Jadida</c:v>
                </c:pt>
                <c:pt idx="5">
                  <c:v>USMBA
Fès</c:v>
                </c:pt>
                <c:pt idx="6">
                  <c:v>USMS
Béni Mellal</c:v>
                </c:pt>
                <c:pt idx="7">
                  <c:v>INRA
Rabat</c:v>
                </c:pt>
                <c:pt idx="8">
                  <c:v>UAE
Tétouan</c:v>
                </c:pt>
                <c:pt idx="9">
                  <c:v>UHP
Settat</c:v>
                </c:pt>
                <c:pt idx="10">
                  <c:v>UIT
Kenitra</c:v>
                </c:pt>
                <c:pt idx="11">
                  <c:v>UIZ
Agadir</c:v>
                </c:pt>
                <c:pt idx="12">
                  <c:v>UMI
Meknès</c:v>
                </c:pt>
                <c:pt idx="13">
                  <c:v>IAV
Rabat</c:v>
                </c:pt>
                <c:pt idx="14">
                  <c:v>INAU
Rabat</c:v>
                </c:pt>
              </c:strCache>
            </c:strRef>
          </c:cat>
          <c:val>
            <c:numRef>
              <c:f>Feuil2!$C$80:$Q$80</c:f>
              <c:numCache>
                <c:formatCode>General</c:formatCode>
                <c:ptCount val="15"/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Feuil2!$B$81</c:f>
              <c:strCache>
                <c:ptCount val="1"/>
                <c:pt idx="0">
                  <c:v>FS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FS: 4</a:t>
                    </a:r>
                  </a:p>
                </c:rich>
              </c:tx>
              <c:showVal val="1"/>
              <c:showSer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FS: 3</a:t>
                    </a:r>
                  </a:p>
                </c:rich>
              </c:tx>
              <c:showVal val="1"/>
              <c:showSerName val="1"/>
            </c:dLbl>
            <c:dLbl>
              <c:idx val="3"/>
              <c:layout>
                <c:manualLayout>
                  <c:x val="3.28677074774034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FS: 3</a:t>
                    </a:r>
                  </a:p>
                </c:rich>
              </c:tx>
              <c:showVal val="1"/>
              <c:showSerName val="1"/>
            </c:dLbl>
            <c:dLbl>
              <c:idx val="4"/>
              <c:layout>
                <c:manualLayout>
                  <c:x val="0"/>
                  <c:y val="2.21667994056505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FS: 4</a:t>
                    </a:r>
                  </a:p>
                </c:rich>
              </c:tx>
              <c:showVal val="1"/>
              <c:showSerName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FS: 1</a:t>
                    </a:r>
                  </a:p>
                </c:rich>
              </c:tx>
              <c:showVal val="1"/>
              <c:showSerName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FS: 1</a:t>
                    </a:r>
                  </a:p>
                </c:rich>
              </c:tx>
              <c:showVal val="1"/>
              <c:showSerName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FS: 1</a:t>
                    </a:r>
                  </a:p>
                </c:rich>
              </c:tx>
              <c:showVal val="1"/>
              <c:showSerName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FS: 1</a:t>
                    </a:r>
                  </a:p>
                </c:rich>
              </c:tx>
              <c:showVal val="1"/>
              <c:showSerName val="1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Val val="1"/>
            <c:showSerName val="1"/>
          </c:dLbls>
          <c:cat>
            <c:strRef>
              <c:f>Feuil2!$C$76:$Q$76</c:f>
              <c:strCache>
                <c:ptCount val="15"/>
                <c:pt idx="0">
                  <c:v>UCA
Marrakech</c:v>
                </c:pt>
                <c:pt idx="1">
                  <c:v>UH2
Casablanca</c:v>
                </c:pt>
                <c:pt idx="2">
                  <c:v>MAScIR
Rabat</c:v>
                </c:pt>
                <c:pt idx="3">
                  <c:v>UM5
Rabat</c:v>
                </c:pt>
                <c:pt idx="4">
                  <c:v>UCD
El Jadida</c:v>
                </c:pt>
                <c:pt idx="5">
                  <c:v>USMBA
Fès</c:v>
                </c:pt>
                <c:pt idx="6">
                  <c:v>USMS
Béni Mellal</c:v>
                </c:pt>
                <c:pt idx="7">
                  <c:v>INRA
Rabat</c:v>
                </c:pt>
                <c:pt idx="8">
                  <c:v>UAE
Tétouan</c:v>
                </c:pt>
                <c:pt idx="9">
                  <c:v>UHP
Settat</c:v>
                </c:pt>
                <c:pt idx="10">
                  <c:v>UIT
Kenitra</c:v>
                </c:pt>
                <c:pt idx="11">
                  <c:v>UIZ
Agadir</c:v>
                </c:pt>
                <c:pt idx="12">
                  <c:v>UMI
Meknès</c:v>
                </c:pt>
                <c:pt idx="13">
                  <c:v>IAV
Rabat</c:v>
                </c:pt>
                <c:pt idx="14">
                  <c:v>INAU
Rabat</c:v>
                </c:pt>
              </c:strCache>
            </c:strRef>
          </c:cat>
          <c:val>
            <c:numRef>
              <c:f>Feuil2!$C$81:$Q$81</c:f>
              <c:numCache>
                <c:formatCode>General</c:formatCode>
                <c:ptCount val="15"/>
                <c:pt idx="0">
                  <c:v>4</c:v>
                </c:pt>
                <c:pt idx="1">
                  <c:v>3</c:v>
                </c:pt>
                <c:pt idx="3">
                  <c:v>3</c:v>
                </c:pt>
                <c:pt idx="4">
                  <c:v>4</c:v>
                </c:pt>
                <c:pt idx="8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5"/>
          <c:order val="5"/>
          <c:tx>
            <c:strRef>
              <c:f>Feuil2!$B$82</c:f>
              <c:strCache>
                <c:ptCount val="1"/>
                <c:pt idx="0">
                  <c:v>FST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FST:</a:t>
                    </a:r>
                    <a:r>
                      <a:rPr lang="en-US" baseline="0"/>
                      <a:t> 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  <c:showSerName val="1"/>
              <c:separator>; </c:separator>
            </c:dLbl>
            <c:dLbl>
              <c:idx val="5"/>
              <c:layout>
                <c:manualLayout>
                  <c:x val="1.09559024924678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FST: 2</a:t>
                    </a:r>
                  </a:p>
                </c:rich>
              </c:tx>
              <c:showVal val="1"/>
              <c:showSerName val="1"/>
              <c:separator>; </c:separator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FST: 2</a:t>
                    </a:r>
                  </a:p>
                </c:rich>
              </c:tx>
              <c:showVal val="1"/>
              <c:showSerName val="1"/>
              <c:separator>; </c:separator>
            </c:dLbl>
            <c:dLbl>
              <c:idx val="9"/>
              <c:layout>
                <c:manualLayout>
                  <c:x val="6.5735414954806951E-3"/>
                  <c:y val="-2.21667994056505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FST: 1</a:t>
                    </a:r>
                  </a:p>
                </c:rich>
              </c:tx>
              <c:showVal val="1"/>
              <c:showSerName val="1"/>
              <c:separator>; </c:separator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Val val="1"/>
            <c:showSerName val="1"/>
            <c:separator>; </c:separator>
          </c:dLbls>
          <c:cat>
            <c:strRef>
              <c:f>Feuil2!$C$76:$Q$76</c:f>
              <c:strCache>
                <c:ptCount val="15"/>
                <c:pt idx="0">
                  <c:v>UCA
Marrakech</c:v>
                </c:pt>
                <c:pt idx="1">
                  <c:v>UH2
Casablanca</c:v>
                </c:pt>
                <c:pt idx="2">
                  <c:v>MAScIR
Rabat</c:v>
                </c:pt>
                <c:pt idx="3">
                  <c:v>UM5
Rabat</c:v>
                </c:pt>
                <c:pt idx="4">
                  <c:v>UCD
El Jadida</c:v>
                </c:pt>
                <c:pt idx="5">
                  <c:v>USMBA
Fès</c:v>
                </c:pt>
                <c:pt idx="6">
                  <c:v>USMS
Béni Mellal</c:v>
                </c:pt>
                <c:pt idx="7">
                  <c:v>INRA
Rabat</c:v>
                </c:pt>
                <c:pt idx="8">
                  <c:v>UAE
Tétouan</c:v>
                </c:pt>
                <c:pt idx="9">
                  <c:v>UHP
Settat</c:v>
                </c:pt>
                <c:pt idx="10">
                  <c:v>UIT
Kenitra</c:v>
                </c:pt>
                <c:pt idx="11">
                  <c:v>UIZ
Agadir</c:v>
                </c:pt>
                <c:pt idx="12">
                  <c:v>UMI
Meknès</c:v>
                </c:pt>
                <c:pt idx="13">
                  <c:v>IAV
Rabat</c:v>
                </c:pt>
                <c:pt idx="14">
                  <c:v>INAU
Rabat</c:v>
                </c:pt>
              </c:strCache>
            </c:strRef>
          </c:cat>
          <c:val>
            <c:numRef>
              <c:f>Feuil2!$C$82:$Q$82</c:f>
              <c:numCache>
                <c:formatCode>General</c:formatCode>
                <c:ptCount val="15"/>
                <c:pt idx="0">
                  <c:v>5</c:v>
                </c:pt>
                <c:pt idx="5">
                  <c:v>2</c:v>
                </c:pt>
                <c:pt idx="6">
                  <c:v>2</c:v>
                </c:pt>
                <c:pt idx="9">
                  <c:v>1</c:v>
                </c:pt>
              </c:numCache>
            </c:numRef>
          </c:val>
        </c:ser>
        <c:ser>
          <c:idx val="6"/>
          <c:order val="6"/>
          <c:tx>
            <c:strRef>
              <c:f>Feuil2!$B$83</c:f>
              <c:strCache>
                <c:ptCount val="1"/>
                <c:pt idx="0">
                  <c:v>IAV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Feuil2!$C$76:$Q$76</c:f>
              <c:strCache>
                <c:ptCount val="15"/>
                <c:pt idx="0">
                  <c:v>UCA
Marrakech</c:v>
                </c:pt>
                <c:pt idx="1">
                  <c:v>UH2
Casablanca</c:v>
                </c:pt>
                <c:pt idx="2">
                  <c:v>MAScIR
Rabat</c:v>
                </c:pt>
                <c:pt idx="3">
                  <c:v>UM5
Rabat</c:v>
                </c:pt>
                <c:pt idx="4">
                  <c:v>UCD
El Jadida</c:v>
                </c:pt>
                <c:pt idx="5">
                  <c:v>USMBA
Fès</c:v>
                </c:pt>
                <c:pt idx="6">
                  <c:v>USMS
Béni Mellal</c:v>
                </c:pt>
                <c:pt idx="7">
                  <c:v>INRA
Rabat</c:v>
                </c:pt>
                <c:pt idx="8">
                  <c:v>UAE
Tétouan</c:v>
                </c:pt>
                <c:pt idx="9">
                  <c:v>UHP
Settat</c:v>
                </c:pt>
                <c:pt idx="10">
                  <c:v>UIT
Kenitra</c:v>
                </c:pt>
                <c:pt idx="11">
                  <c:v>UIZ
Agadir</c:v>
                </c:pt>
                <c:pt idx="12">
                  <c:v>UMI
Meknès</c:v>
                </c:pt>
                <c:pt idx="13">
                  <c:v>IAV
Rabat</c:v>
                </c:pt>
                <c:pt idx="14">
                  <c:v>INAU
Rabat</c:v>
                </c:pt>
              </c:strCache>
            </c:strRef>
          </c:cat>
          <c:val>
            <c:numRef>
              <c:f>Feuil2!$C$83:$Q$83</c:f>
              <c:numCache>
                <c:formatCode>General</c:formatCode>
                <c:ptCount val="15"/>
                <c:pt idx="13">
                  <c:v>1</c:v>
                </c:pt>
              </c:numCache>
            </c:numRef>
          </c:val>
        </c:ser>
        <c:ser>
          <c:idx val="7"/>
          <c:order val="7"/>
          <c:tx>
            <c:strRef>
              <c:f>Feuil2!$B$84</c:f>
              <c:strCache>
                <c:ptCount val="1"/>
                <c:pt idx="0">
                  <c:v>INAU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Feuil2!$C$76:$Q$76</c:f>
              <c:strCache>
                <c:ptCount val="15"/>
                <c:pt idx="0">
                  <c:v>UCA
Marrakech</c:v>
                </c:pt>
                <c:pt idx="1">
                  <c:v>UH2
Casablanca</c:v>
                </c:pt>
                <c:pt idx="2">
                  <c:v>MAScIR
Rabat</c:v>
                </c:pt>
                <c:pt idx="3">
                  <c:v>UM5
Rabat</c:v>
                </c:pt>
                <c:pt idx="4">
                  <c:v>UCD
El Jadida</c:v>
                </c:pt>
                <c:pt idx="5">
                  <c:v>USMBA
Fès</c:v>
                </c:pt>
                <c:pt idx="6">
                  <c:v>USMS
Béni Mellal</c:v>
                </c:pt>
                <c:pt idx="7">
                  <c:v>INRA
Rabat</c:v>
                </c:pt>
                <c:pt idx="8">
                  <c:v>UAE
Tétouan</c:v>
                </c:pt>
                <c:pt idx="9">
                  <c:v>UHP
Settat</c:v>
                </c:pt>
                <c:pt idx="10">
                  <c:v>UIT
Kenitra</c:v>
                </c:pt>
                <c:pt idx="11">
                  <c:v>UIZ
Agadir</c:v>
                </c:pt>
                <c:pt idx="12">
                  <c:v>UMI
Meknès</c:v>
                </c:pt>
                <c:pt idx="13">
                  <c:v>IAV
Rabat</c:v>
                </c:pt>
                <c:pt idx="14">
                  <c:v>INAU
Rabat</c:v>
                </c:pt>
              </c:strCache>
            </c:strRef>
          </c:cat>
          <c:val>
            <c:numRef>
              <c:f>Feuil2!$C$84:$Q$84</c:f>
              <c:numCache>
                <c:formatCode>General</c:formatCode>
                <c:ptCount val="15"/>
                <c:pt idx="14">
                  <c:v>1</c:v>
                </c:pt>
              </c:numCache>
            </c:numRef>
          </c:val>
        </c:ser>
        <c:ser>
          <c:idx val="8"/>
          <c:order val="8"/>
          <c:tx>
            <c:strRef>
              <c:f>Feuil2!$B$85</c:f>
              <c:strCache>
                <c:ptCount val="1"/>
                <c:pt idx="0">
                  <c:v>INRA Kenitra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INRA </a:t>
                    </a:r>
                  </a:p>
                  <a:p>
                    <a:r>
                      <a:rPr lang="en-US"/>
                      <a:t>    Kenitra: 1</a:t>
                    </a:r>
                  </a:p>
                </c:rich>
              </c:tx>
              <c:showVal val="1"/>
              <c:showSerName val="1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Val val="1"/>
            <c:showSerName val="1"/>
          </c:dLbls>
          <c:cat>
            <c:strRef>
              <c:f>Feuil2!$C$76:$Q$76</c:f>
              <c:strCache>
                <c:ptCount val="15"/>
                <c:pt idx="0">
                  <c:v>UCA
Marrakech</c:v>
                </c:pt>
                <c:pt idx="1">
                  <c:v>UH2
Casablanca</c:v>
                </c:pt>
                <c:pt idx="2">
                  <c:v>MAScIR
Rabat</c:v>
                </c:pt>
                <c:pt idx="3">
                  <c:v>UM5
Rabat</c:v>
                </c:pt>
                <c:pt idx="4">
                  <c:v>UCD
El Jadida</c:v>
                </c:pt>
                <c:pt idx="5">
                  <c:v>USMBA
Fès</c:v>
                </c:pt>
                <c:pt idx="6">
                  <c:v>USMS
Béni Mellal</c:v>
                </c:pt>
                <c:pt idx="7">
                  <c:v>INRA
Rabat</c:v>
                </c:pt>
                <c:pt idx="8">
                  <c:v>UAE
Tétouan</c:v>
                </c:pt>
                <c:pt idx="9">
                  <c:v>UHP
Settat</c:v>
                </c:pt>
                <c:pt idx="10">
                  <c:v>UIT
Kenitra</c:v>
                </c:pt>
                <c:pt idx="11">
                  <c:v>UIZ
Agadir</c:v>
                </c:pt>
                <c:pt idx="12">
                  <c:v>UMI
Meknès</c:v>
                </c:pt>
                <c:pt idx="13">
                  <c:v>IAV
Rabat</c:v>
                </c:pt>
                <c:pt idx="14">
                  <c:v>INAU
Rabat</c:v>
                </c:pt>
              </c:strCache>
            </c:strRef>
          </c:cat>
          <c:val>
            <c:numRef>
              <c:f>Feuil2!$C$85:$Q$85</c:f>
              <c:numCache>
                <c:formatCode>General</c:formatCode>
                <c:ptCount val="15"/>
                <c:pt idx="7">
                  <c:v>1</c:v>
                </c:pt>
              </c:numCache>
            </c:numRef>
          </c:val>
        </c:ser>
        <c:ser>
          <c:idx val="9"/>
          <c:order val="9"/>
          <c:tx>
            <c:strRef>
              <c:f>Feuil2!$B$86</c:f>
              <c:strCache>
                <c:ptCount val="1"/>
                <c:pt idx="0">
                  <c:v>INRA Settat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INRA</a:t>
                    </a:r>
                  </a:p>
                  <a:p>
                    <a:r>
                      <a:rPr lang="en-US"/>
                      <a:t>  Settat: 1</a:t>
                    </a:r>
                  </a:p>
                </c:rich>
              </c:tx>
              <c:showVal val="1"/>
              <c:showSerName val="1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Val val="1"/>
            <c:showSerName val="1"/>
          </c:dLbls>
          <c:cat>
            <c:strRef>
              <c:f>Feuil2!$C$76:$Q$76</c:f>
              <c:strCache>
                <c:ptCount val="15"/>
                <c:pt idx="0">
                  <c:v>UCA
Marrakech</c:v>
                </c:pt>
                <c:pt idx="1">
                  <c:v>UH2
Casablanca</c:v>
                </c:pt>
                <c:pt idx="2">
                  <c:v>MAScIR
Rabat</c:v>
                </c:pt>
                <c:pt idx="3">
                  <c:v>UM5
Rabat</c:v>
                </c:pt>
                <c:pt idx="4">
                  <c:v>UCD
El Jadida</c:v>
                </c:pt>
                <c:pt idx="5">
                  <c:v>USMBA
Fès</c:v>
                </c:pt>
                <c:pt idx="6">
                  <c:v>USMS
Béni Mellal</c:v>
                </c:pt>
                <c:pt idx="7">
                  <c:v>INRA
Rabat</c:v>
                </c:pt>
                <c:pt idx="8">
                  <c:v>UAE
Tétouan</c:v>
                </c:pt>
                <c:pt idx="9">
                  <c:v>UHP
Settat</c:v>
                </c:pt>
                <c:pt idx="10">
                  <c:v>UIT
Kenitra</c:v>
                </c:pt>
                <c:pt idx="11">
                  <c:v>UIZ
Agadir</c:v>
                </c:pt>
                <c:pt idx="12">
                  <c:v>UMI
Meknès</c:v>
                </c:pt>
                <c:pt idx="13">
                  <c:v>IAV
Rabat</c:v>
                </c:pt>
                <c:pt idx="14">
                  <c:v>INAU
Rabat</c:v>
                </c:pt>
              </c:strCache>
            </c:strRef>
          </c:cat>
          <c:val>
            <c:numRef>
              <c:f>Feuil2!$C$86:$Q$86</c:f>
              <c:numCache>
                <c:formatCode>General</c:formatCode>
                <c:ptCount val="15"/>
                <c:pt idx="7">
                  <c:v>1</c:v>
                </c:pt>
              </c:numCache>
            </c:numRef>
          </c:val>
        </c:ser>
        <c:ser>
          <c:idx val="10"/>
          <c:order val="10"/>
          <c:tx>
            <c:strRef>
              <c:f>Feuil2!$B$87</c:f>
              <c:strCache>
                <c:ptCount val="1"/>
                <c:pt idx="0">
                  <c:v>MAScIR</c:v>
                </c:pt>
              </c:strCache>
            </c:strRef>
          </c:tx>
          <c:dLbls>
            <c:dLbl>
              <c:idx val="2"/>
              <c:layout>
                <c:manualLayout>
                  <c:x val="4.3821884630896096E-3"/>
                  <c:y val="2.21667994056505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MAScIR: 5</a:t>
                    </a:r>
                  </a:p>
                </c:rich>
              </c:tx>
              <c:showVal val="1"/>
              <c:showSerName val="1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Val val="1"/>
            <c:showSerName val="1"/>
          </c:dLbls>
          <c:cat>
            <c:strRef>
              <c:f>Feuil2!$C$76:$Q$76</c:f>
              <c:strCache>
                <c:ptCount val="15"/>
                <c:pt idx="0">
                  <c:v>UCA
Marrakech</c:v>
                </c:pt>
                <c:pt idx="1">
                  <c:v>UH2
Casablanca</c:v>
                </c:pt>
                <c:pt idx="2">
                  <c:v>MAScIR
Rabat</c:v>
                </c:pt>
                <c:pt idx="3">
                  <c:v>UM5
Rabat</c:v>
                </c:pt>
                <c:pt idx="4">
                  <c:v>UCD
El Jadida</c:v>
                </c:pt>
                <c:pt idx="5">
                  <c:v>USMBA
Fès</c:v>
                </c:pt>
                <c:pt idx="6">
                  <c:v>USMS
Béni Mellal</c:v>
                </c:pt>
                <c:pt idx="7">
                  <c:v>INRA
Rabat</c:v>
                </c:pt>
                <c:pt idx="8">
                  <c:v>UAE
Tétouan</c:v>
                </c:pt>
                <c:pt idx="9">
                  <c:v>UHP
Settat</c:v>
                </c:pt>
                <c:pt idx="10">
                  <c:v>UIT
Kenitra</c:v>
                </c:pt>
                <c:pt idx="11">
                  <c:v>UIZ
Agadir</c:v>
                </c:pt>
                <c:pt idx="12">
                  <c:v>UMI
Meknès</c:v>
                </c:pt>
                <c:pt idx="13">
                  <c:v>IAV
Rabat</c:v>
                </c:pt>
                <c:pt idx="14">
                  <c:v>INAU
Rabat</c:v>
                </c:pt>
              </c:strCache>
            </c:strRef>
          </c:cat>
          <c:val>
            <c:numRef>
              <c:f>Feuil2!$C$87:$Q$87</c:f>
              <c:numCache>
                <c:formatCode>General</c:formatCode>
                <c:ptCount val="15"/>
                <c:pt idx="2">
                  <c:v>5</c:v>
                </c:pt>
              </c:numCache>
            </c:numRef>
          </c:val>
        </c:ser>
        <c:gapWidth val="54"/>
        <c:shape val="box"/>
        <c:axId val="139617792"/>
        <c:axId val="139619328"/>
        <c:axId val="0"/>
      </c:bar3DChart>
      <c:catAx>
        <c:axId val="139617792"/>
        <c:scaling>
          <c:orientation val="minMax"/>
        </c:scaling>
        <c:axPos val="b"/>
        <c:tickLblPos val="nextTo"/>
        <c:txPr>
          <a:bodyPr rot="0" vert="horz"/>
          <a:lstStyle/>
          <a:p>
            <a:pPr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fr-FR"/>
          </a:p>
        </c:txPr>
        <c:crossAx val="139619328"/>
        <c:crosses val="autoZero"/>
        <c:lblAlgn val="ctr"/>
        <c:lblOffset val="100"/>
      </c:catAx>
      <c:valAx>
        <c:axId val="139619328"/>
        <c:scaling>
          <c:orientation val="minMax"/>
        </c:scaling>
        <c:axPos val="l"/>
        <c:majorGridlines/>
        <c:numFmt formatCode="General" sourceLinked="1"/>
        <c:tickLblPos val="nextTo"/>
        <c:spPr>
          <a:effectLst>
            <a:glow>
              <a:schemeClr val="accent1">
                <a:alpha val="40000"/>
              </a:schemeClr>
            </a:glow>
            <a:softEdge rad="12700"/>
          </a:effectLst>
        </c:spPr>
        <c:crossAx val="13961779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autoTitleDeleted val="1"/>
    <c:plotArea>
      <c:layout>
        <c:manualLayout>
          <c:layoutTarget val="inner"/>
          <c:xMode val="edge"/>
          <c:yMode val="edge"/>
          <c:x val="0.22349425629246517"/>
          <c:y val="4.5660884568199903E-2"/>
          <c:w val="0.56988544217207782"/>
          <c:h val="0.83019262257022364"/>
        </c:manualLayout>
      </c:layout>
      <c:pieChart>
        <c:varyColors val="1"/>
        <c:ser>
          <c:idx val="0"/>
          <c:order val="0"/>
          <c:explosion val="10"/>
          <c:dLbls>
            <c:dLbl>
              <c:idx val="7"/>
              <c:layout>
                <c:manualLayout>
                  <c:x val="7.6674250305178007E-2"/>
                  <c:y val="2.8717592602340185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6.5465407049682733E-2"/>
                  <c:y val="6.6712885132883523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2.7216345886464037E-2"/>
                  <c:y val="8.3689917994001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Eau
3%</a:t>
                    </a:r>
                  </a:p>
                </c:rich>
              </c:tx>
              <c:showCatName val="1"/>
              <c:showPercent val="1"/>
            </c:dLbl>
            <c:dLbl>
              <c:idx val="11"/>
              <c:layout>
                <c:manualLayout>
                  <c:x val="3.7375102548271706E-2"/>
                  <c:y val="9.8203777115466226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1.9308815164415401E-2"/>
                  <c:y val="4.957804257116376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fr-FR"/>
              </a:p>
            </c:txPr>
            <c:showCatName val="1"/>
            <c:showPercent val="1"/>
            <c:showLeaderLines val="1"/>
          </c:dLbls>
          <c:cat>
            <c:strRef>
              <c:f>Feuil2!$C$48:$C$60</c:f>
              <c:strCache>
                <c:ptCount val="13"/>
                <c:pt idx="0">
                  <c:v>Matériaux</c:v>
                </c:pt>
                <c:pt idx="1">
                  <c:v>Valorisation-Acide</c:v>
                </c:pt>
                <c:pt idx="2">
                  <c:v>Biotechnologie </c:v>
                </c:pt>
                <c:pt idx="3">
                  <c:v>Extraction </c:v>
                </c:pt>
                <c:pt idx="4">
                  <c:v>Géologie </c:v>
                </c:pt>
                <c:pt idx="5">
                  <c:v>Traitement
</c:v>
                </c:pt>
                <c:pt idx="6">
                  <c:v>Valorisation-Engrais</c:v>
                </c:pt>
                <c:pt idx="7">
                  <c:v>Chimie fine </c:v>
                </c:pt>
                <c:pt idx="8">
                  <c:v>Corrosion </c:v>
                </c:pt>
                <c:pt idx="9">
                  <c:v>SHS</c:v>
                </c:pt>
                <c:pt idx="10">
                  <c:v>EAU</c:v>
                </c:pt>
                <c:pt idx="11">
                  <c:v>Energie </c:v>
                </c:pt>
                <c:pt idx="12">
                  <c:v>fertilisation</c:v>
                </c:pt>
              </c:strCache>
            </c:strRef>
          </c:cat>
          <c:val>
            <c:numRef>
              <c:f>Feuil2!$D$48:$D$60</c:f>
              <c:numCache>
                <c:formatCode>General</c:formatCode>
                <c:ptCount val="13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Regragui</dc:creator>
  <cp:lastModifiedBy>elhamidi</cp:lastModifiedBy>
  <cp:revision>2</cp:revision>
  <dcterms:created xsi:type="dcterms:W3CDTF">2017-02-02T15:28:00Z</dcterms:created>
  <dcterms:modified xsi:type="dcterms:W3CDTF">2017-02-02T15:28:00Z</dcterms:modified>
</cp:coreProperties>
</file>